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2C" w:rsidRPr="008D5874" w:rsidRDefault="00696A2C" w:rsidP="00696A2C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D395E" wp14:editId="7B0EB817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2C" w:rsidRPr="008D5874" w:rsidRDefault="00696A2C" w:rsidP="00696A2C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t xml:space="preserve">                                       ФЕДЕРАЛЬНОЕ </w:t>
      </w:r>
      <w:r w:rsidRPr="008D5874">
        <w:rPr>
          <w:rFonts w:ascii="Times New Roman" w:hAnsi="Times New Roman"/>
          <w:b/>
          <w:sz w:val="14"/>
          <w:szCs w:val="24"/>
        </w:rPr>
        <w:t>ГОСУДАРСТВЕННОЕ БЮДЖЕТНОЕ ОБРАЗОВАТЕЛЬНОЕ УЧРЕЖДЕНИЕ ВЫСШЕГО ОБРАЗОВАНИЯ</w:t>
      </w:r>
    </w:p>
    <w:p w:rsidR="00696A2C" w:rsidRPr="008D5874" w:rsidRDefault="00696A2C" w:rsidP="00696A2C">
      <w:pPr>
        <w:pStyle w:val="1"/>
        <w:numPr>
          <w:ilvl w:val="0"/>
          <w:numId w:val="0"/>
        </w:numPr>
        <w:spacing w:before="0" w:after="0"/>
        <w:ind w:right="-2"/>
        <w:jc w:val="center"/>
      </w:pPr>
      <w:r>
        <w:t xml:space="preserve">                     </w:t>
      </w:r>
      <w:r w:rsidRPr="008D5874">
        <w:t>БАШКИРСКИЙ  ГОСУДАРСТВЕННЫЙ  МЕДИЦИНСКИЙ УНИВЕРСИТЕТ</w:t>
      </w:r>
    </w:p>
    <w:p w:rsidR="00696A2C" w:rsidRPr="0015550E" w:rsidRDefault="00696A2C" w:rsidP="00696A2C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5550E">
        <w:rPr>
          <w:rFonts w:ascii="Times New Roman" w:hAnsi="Times New Roman"/>
          <w:b/>
        </w:rPr>
        <w:t>МИНИСТЕРСТВА  ЗДРАВООХРАНЕНИЯ РОССИЙСКОЙ ФЕДЕРАЦИИ</w:t>
      </w:r>
    </w:p>
    <w:p w:rsidR="00696A2C" w:rsidRPr="00340429" w:rsidRDefault="00696A2C" w:rsidP="00696A2C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510" w:rsidRDefault="00492510" w:rsidP="00492510">
      <w:pPr>
        <w:rPr>
          <w:rFonts w:ascii="Times New Roman" w:hAnsi="Times New Roman"/>
          <w:color w:val="000000"/>
          <w:sz w:val="24"/>
          <w:szCs w:val="24"/>
        </w:rPr>
      </w:pPr>
    </w:p>
    <w:p w:rsidR="00492510" w:rsidRDefault="00492510" w:rsidP="00492510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ВОПРОСОВ ДЛЯ ПОДГОТОВКИ</w:t>
      </w:r>
    </w:p>
    <w:p w:rsidR="00492510" w:rsidRPr="004973E1" w:rsidRDefault="00492510" w:rsidP="00492510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Pr="004973E1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492510" w:rsidRPr="00E829A5" w:rsidRDefault="00492510" w:rsidP="0049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510" w:rsidRPr="00E829A5" w:rsidRDefault="0019163C" w:rsidP="00492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по направлению подготовки </w:t>
      </w:r>
      <w:r w:rsidR="00492510" w:rsidRPr="00E829A5">
        <w:rPr>
          <w:rFonts w:ascii="Times New Roman" w:hAnsi="Times New Roman" w:cs="Times New Roman"/>
          <w:b/>
          <w:bCs/>
          <w:sz w:val="28"/>
          <w:szCs w:val="28"/>
        </w:rPr>
        <w:t>31.06.01 Клиническая медицина</w:t>
      </w:r>
    </w:p>
    <w:p w:rsidR="00492510" w:rsidRPr="00E829A5" w:rsidRDefault="0019163C" w:rsidP="001916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по специальности </w:t>
      </w:r>
      <w:r w:rsidR="004A26A3" w:rsidRPr="00E82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9A5">
        <w:rPr>
          <w:rFonts w:ascii="Times New Roman" w:eastAsia="Calibri" w:hAnsi="Times New Roman" w:cs="Times New Roman"/>
          <w:b/>
          <w:sz w:val="28"/>
          <w:szCs w:val="28"/>
        </w:rPr>
        <w:t xml:space="preserve">14.01.17 </w:t>
      </w:r>
      <w:r w:rsidR="00492510" w:rsidRPr="00E829A5">
        <w:rPr>
          <w:rFonts w:ascii="Times New Roman" w:eastAsia="Calibri" w:hAnsi="Times New Roman" w:cs="Times New Roman"/>
          <w:b/>
          <w:sz w:val="28"/>
          <w:szCs w:val="28"/>
        </w:rPr>
        <w:t xml:space="preserve"> Хирургия</w:t>
      </w:r>
    </w:p>
    <w:p w:rsidR="00492510" w:rsidRDefault="00492510" w:rsidP="00492510">
      <w:pPr>
        <w:widowControl w:val="0"/>
        <w:snapToGrid w:val="0"/>
        <w:spacing w:after="0" w:line="256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0B6A2E" w:rsidRDefault="000B6A2E" w:rsidP="00492510">
      <w:pPr>
        <w:widowControl w:val="0"/>
        <w:snapToGrid w:val="0"/>
        <w:spacing w:after="0" w:line="256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общемировые тенденции развития современной педагогической науки вам и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вестны? Охарактеризуйте их.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характеристику основной терминологии (5-6 понятий) педагогической науки.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заключается сущность целостного педагогического процесса? Охарактеризуйте его.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характеризуется современная государственная политика в области образования? З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«Об образовании в Российской Федерации».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состоит вклад ученых-медиков в развитие мировой педагогики (П.Ф. Лесгафт, И.М. Сеченов, И.П. Павлов)? Педагогическая деятельность хирурга Н.И. Пирогова.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представляет собой дидактика? Каковы научные основы процесса обучения (культур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логические, нормативные, психологические, этические, физиологические, информ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ционные)?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заключаются психолого-педагогические комп</w:t>
      </w:r>
      <w:bookmarkStart w:id="0" w:name="_GoBack"/>
      <w:bookmarkEnd w:id="0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оненты содержания высшего медици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образования? Научные основы определения содержания образования: факторы, влия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 на отбор содержания, компоненты содержания, подходы к определению содержания.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представляют собой образовательный стандарт высшей школы, учебный план, уче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программа как основа организации образовательного процесса в вузе? Охарактер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зуйте их.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и раскройте принципы обучения в контексте решения основополагающих задач образования.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психолого - дидактическую характеристику форм организации учебной деятел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представляет собой самостоятельная работа студентов как развитие и самоорганиз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ция личности обучаемых?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представляет собой лекция как ведущая форма организации образовательного пр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цесса в вузе? Развитие лекционной формы в системе вузовского обучения (проблемная лекция, лекция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вдвоѐм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лекция - пресс-конференция, лекция с заранее запланированн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ошибками).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классификации методов обучения вам известны? Дайте краткую характеристику методов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обучения.Как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взаимосвязаны методы и приемы обучения?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Охарактеризуйте активные методы обучения (не имитационные и имитационные).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заключаются теоретические основы интенсификации обучения посредством и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пользования технологий обучения? Предметно-ориентированные, личностно-ориентированные педагогические технологии в вузе.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классификации педагогических технологий вам известны? В чем заключается возможность их применения в практике медицинского вуза?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характеристику технологии контекстного обучения, технологии проблемного об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чения, технологии модульного обучения. Что представляют собой информационные технол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 обучения, кейс-метод?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представляют собой средства обучения и контроля как орудия педагогической де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тельности? Характеристика средств обучения и контроля.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заключаются дидактические требования к использованию средств обучения?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типологии личности студента вам известны? Студент как субъект учебной де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и самообразования.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понимается под педагогической коммуникацией? Сущность, структура педагогич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общения; стили и модели педагогического общения. Каковы особенности педагогическ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 общения в вузе?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представляют собой конфликты в педагогической деятельности? Каковы способы их разрешения и предотвращения?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представляет собой воспитание как общественное и педагогическое явление? В чем заключаются культурологические основания воспитательного процесса?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Охарактеризуйте основные противоречия, закономерности и принципы воспитательного процесса.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представляет собой обучающийся как объект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цесса и как субъект деятельности? Педагогическое взаимодействие в воспитании?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и охарактеризуйте основные направления воспитания личности.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сущностная характеристика основных методов, средств и форм во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питания личности?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представляет собой студенческий коллектив как объект и субъект воспитания? П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 в системе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проведения?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Охарактеризуйте теоретико-методологические основания управления образовательными системами.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Общемировые тенденции развития современной педагогической науки.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основной терминологии (5-6 понятий) педагогической науки.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целостного педагогического процесса и его характеристика.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государственная политика в области образования. Закон «Об образовании в Российской Федерации».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Дидактика в системе наук о человеке. Научные основы процесса обучения (культурол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гические, нормативные, психологические, этические, физиологические, информацио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ные).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компоненты содержания высшего медицинского образов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Научные основы определения содержания образования: факторы, влияющие на отбор с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держания, компоненты содержания, подходы к определению содержания.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высшей школы, учебный план, учебная программа как осн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организации образовательного процесса в вузе.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обучения в контексте решения основополагающих задач образования.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 - дидактическая характеристика форм организации учебной деятельности.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студентов как развитие и самоорганизация личности обуча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мых.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 как ведущая форма организации образовательного процесса в вузе. Развитие лекционной формы в системе вузовского обучения (проблемная лекция, лекция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вдвоѐм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лекция - пресс-конференция, лекция с заранее запланированными ошибками).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методов обучения. Соотношение методов и приемов. Характеристика основных методов и приемов в обучении.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методы обучения (не имитационные и имитационные).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интенсификации обучения посредством использования технол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гий обучения.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педагогических технологий, возможность их применения в практике м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дицинского вуза. Предметно-ориентированные, личностно-ориентированные педагог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ческие технологии в вузе.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контекстного обучения; технология проблемного обучения; кейс-метод; те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нология модульного обучения; информационные технологии обучения, дистанционное образ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средства обучения и контроля как орудия педагогической деятельности. Хара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теристика средств обучения и контроля.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требования к использованию средств обучения.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как субъект учебной деятельности и самообразования. Типологии личности студента.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коммуникация: сущность, содержание структура педагогического общ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ния; стили и модели педагогического общения. Особенности педагогического общения в вузе.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Конфликты в педагогической деятельности и способы их разрешения и предотвращения. Специфика педагогических конфликтов; способы разрешения конфликтов.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воспитания и основные теории, объясняющие этот феномен. Культур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логические основания воспитательного процесса.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противоречия, закономерности и принципы воспитательного процесса.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как объект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и как субъект де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тельности. Педагогическое взаимодействие в воспитании.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воспитания личности. (Базовая культура личности и пути ее формирования.)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Сущностная характеристика основных методов, средств и форм воспитания личности.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Студенческий коллектив как объект и субъект воспитания. Педагог в системе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практика аспирантов, порядок </w:t>
      </w:r>
      <w:proofErr w:type="spellStart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проведения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Теоретико-методологические основания управления образовательными системами.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1.Опухоли и кисты средостения. Классификация, клиника, диагностика, дифференц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альная диагностика. Показания к операции.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2.Истинные и ложные аневризмы кровеносных сосудов. Врожденные артериальные ан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вризмы. Методы диагностики. Показания к операции. Виды оперативных вмешательств,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3.Ранения сердца: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4.Ожоги пищевода: клиника, первая помощь и принципы лечения в остром периоде.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5.Специальные методы исследования больных с заболеваниями сосудов, инвазивные и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методы.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6.Механическая желтуха: клиника, диагностика, дифференциальная диагностика, хиру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гическое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7.Эмпиема плевры: классификация, клиника, диагностика, лечение.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8.Постхолецистэктомический синдром (ПХЭС). Определение. Клиника, диагностика, лечение, профилактика. Эндоскопические методы в диагностике и лечении ПХЭС.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9.Медиастинит: этиология,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10.Открытые и закрытые повреждения живота: клиника, диагностика, лечение. Роль 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пароскопии в диагностике и лечении травмы живота.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11.Центральный рак легкого: клиника, диагностика, хирургическое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12.Периферический рак легкого: этиология, классификация рака легкого.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13.Абсцессы легкого: этиология, классификация,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14.Осложнения варикозной болезни нижних конечностей (острый тромбофлебит, кров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течение, трофическая язва):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15.Диабетическая стопа. Определение понятия.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16.Травмы грудной клетки и ее органов. Проникающие и непроникающие ранения. Ди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гностика, лечение, неотложные операции.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17.Посттромбофлебитическая болезнь нижних конечностей. Понятие, классификация. Клиника, диагностика, лечение. Виды операций.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18.Доброкачественные заболевания пищевода.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Ахалазия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кардии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(кардиоспазм). Класс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фикация,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19.Тромбоэмболия легочной артерии: этиология, клиника, диагностика, лечение. Пок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зания к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эмболэктомии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20.Врожденные пороки развития пищевода. Виды,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21.Посттромбофлебетический синдром: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22.Повреждение магистральных вен нижних конечностей. Клиника, диагностика, леч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23.Диафрагмальные грыжи. Классификация. Методы диагностики.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24.Грыжи пищеводного отверстия диафрагмы. Классификация,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25.Эндоскопические методы в диагностике и лечении заболеваний органов грудной клетки и брюшной полости.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26.Пневмоторакс: этиология, классификация, клиника, диагностика, первая помощь, 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27.Релаксация диафрагмы, клиника, диагностика, показания к операции, методы пласт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28.Аневризмы грудной и брюшной аорты: клиника, диагностика, лечение. Экстренные операции при разрыве аневризмы.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29. Острые тромбозы системы нижней полой вены. Классификация локализаций,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этиоп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тогенез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, клиника, диагностика, лечение: консервативное и оперативное.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30. Рубцовые сужения пищевода. Патогенез, клиника, диагностика, консервативное и хирургическое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31.Повреждения пищевода.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32.Перикардит: классификация, этиология, клиника, диагностика, лечение различных форм.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33.Варикозная болезнь нижних конечностей: этиология, диагностика (пробы).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34.Облитерирующие заболевания артерий нижних конечностей: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35.Диабетическая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ангиопатия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нижних конечностей. Синдром диабетической стопы: кл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36.Заболевания пищевода. Специальные методы исследования при заболеваниях пищ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вода.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37.Болезнь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Рейно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Этиология,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38.Дивертикулы пищевода. Классификация,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39.Острые тромбозы и эмболии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мезентериальных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сосудов. Клиника, диагностика, леч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40.Паразитарные заболевания: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эхиноккокоз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печени: клиника, диагностика, принцип х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рургического лечения.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41.Варикозная болезнь нижних конечностей: диагностика, показания к операти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ному лечению, виды операций.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42.Инородные тела пищевода.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43.Острые тромбозы и эмболии бифуркации аорты и магистральных сосудов верхних и нижних конечностей. Клиника, диагностика, лечение. Степени ишемии к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нечности.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44.Облитерирующий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тромбоангиит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, этиология, патогенез. Клиника, диагностика. При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ципы консервативного лечения.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45. Заболевания щитовидной железы.  Факторы внешней среды, способствующие заб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леванию. Классификация, методы исследования.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1. Острый гнойный мастит.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2. Рак желудка. Предраковые заболевания желудка. Клиника и диагностика. Леч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ние. Эндоскопическое удаление полипов. Эпидемиология рака. Этиологические факторы. Класс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фикация. Клиническая картина заболевания в зависимости от локализации и характера роста опухоли. Осложнения. Диагностика и дифференциальная диагностика. Показания и противоп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казания к радикальным и паллиативным операциям. Принципы предоперационной подготовки и послеоперационное ведение.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3. Доброкачественные опухоли щитовидной железы. Клиника, диагностика, диффере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циальный диагноз.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4. Болезни оперированного желудка. Классификация. Незажившие и рецидивные язвы, пептические язвы тощей кишки, синдром приводящей петли и демпинг-синдром. Рефлюкс-гастрит и рефлюкс-эзофагит. Причины возникновения. Клиника и диагностика. Показания к хирургическому лечению, методы реконструктивных операций.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5. Гангрена легкого. Причины развития, клиника, диагностика. Дифференциальный ди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гноз. Принципы лечения.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6. Стафилококковая деструкция легких. Понятие. Клиника, диагностика, лечение. 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зультаты лечения острого абсцесса и гангрены легкого.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7. Опухоли тонкой кишки. Классификация, клиника, диагностика, лечение. Болезнь Кр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на. Определение понятия, клиника, диагностика, лечение. Осложнения, их диагностика и леч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ние. Тонкокишечные свищи. Классификация,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8. Бронхоэктатическая болезнь. Определение понятия. Классификация по формам заб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левания и стадиям развития процесса. Этиология, патогенез, клиника. Диагностика, диффере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циальная диагностика. Показания к хирургическому лечению. Методы предоперационной по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готовки. Виды операций, ведение послеоперационного периода.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9. Острый аппендицит. Классификация. Этиология, патогенез. Клиника и диагн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стика. Лечение. Осложнения острого аппендицита: аппендикулярный инфильтрат,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периаппендикуля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ный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абсцесс,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межкишечный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поддиафрагмальный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тазовый абсцесс,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пилефлебит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Клиника ра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личных осложнений; их диагностика и лечение. Перитонит как осложнение острого аппендиц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та. Хронический аппендицит. Классификация. Клиника, диагностика, дифференциальная ди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гностика. Показания и противопоказания к опер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тивному лечению.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10. Гнойная инфекция в хирургии. Классификация, возбудители. Пути внедрения и ра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пространения. Общая и местная реакция организма. Особенности воспалительных заболеваний на лице и шее. Применение протеолитических ферментов в гнойной хиру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гии.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11. Острый гнойный плеврит. Определение понятия. Классификация. Пути проникнов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ния инфекции в плевральную полость. Клиника, диагностика, консервативное и хирургическое лечение. Показания к дренированию плевральной полости. Хроническая эмпиема плевры. Определение понятия. Причины перехода острой эмпиемы в хроническую. Клиника, диагн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стика, лечение. Открытые, закрытые методы лечения.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Плеврэктомия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плевролобэктомия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плевропульмонэктомия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Торакопластика.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12. Рак легкого. Этиология, факторы и группы риска. Патологическая анатомия. Закон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мерности метастазирования. Клинико-анатомическая классификация. Раннее в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явление рака легкого, значение флюорографии.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13. Классификация заболеваний толстой кишки. Методика обследования больных с з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болеваниями толстой кишки.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14. Гнойные заболевания кожи и подкожной клетчатки. Фурункул, карбункул, гидрад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нит. Этиология, клиника.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15. Клиническая картина центрального и периферического рака в зависимости от хара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тера роста и локализации опухоли. Рентгенологическая картина форм рака легкого, значение томографии, компьютерной томографии и бронхоскопии. Показания к различным методам 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следования при различных формах рака легкого. Показания к хирургическому лечению, пр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знаки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неоперабельности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Принципы комбинированного лечения.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 Варикозная болезнь нижних конечностей. Лечение: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склерозирующая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терапия, ко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сервативное, оперативное. Показания и противопоказания к операции. Виды операций и мет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ды перевязки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коммуникантных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вен. Эндоскопическая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диссекция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коммун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кантных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вен. Ведение послеоперационного периода. Осложнения варикозной болезни нижних конечностей.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17. Язвенная болезнь желудка. Особенности этиологии и патогенеза желудочных язв. Классификация. Показания к операции и виды оперативных вмешательств.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18. Диабетическая микро- и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макроангиопатия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Клиника, диагностика, лечение. Лечение трофических язв и гангрены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 Ранения печени. Клиника, диагностика, лечение.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20. Атеросклеротические поражения артерий. Определение понятия. Этиология, патог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нез. Патологическая анатомия. Клинические формы облитерирующего артериита и атероскл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роза. Диагностика, значение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реовазографии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ангиографии, допплерографии, ультразвукового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ангиосканирования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диагностике заболеваний. Дифференциальная диагностика. Консервати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ное лечение. Показания к оперативному лечению, методы операций.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Катетерная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дилатация; профилактика заболевания.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Эндоваскулярные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вмешател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ства.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 Паразитарные заболевания печения. Эхинококкоз и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алъвеококкоз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Эндемические районы в РФ. Морфология. Клиника, диагностика, роль серологической диагностики, дифф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ренциальная диагностика, методы хирургического лечения. Осложнения. Современные 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струментальные и инвазивные методы диагностики эхинококкоза. Способы обработки и закр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тия остаточных полостей после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эхиннококкэктомии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Химиотерапия при эхинококкозе и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веококкозе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печени, ее значимость среди других методов 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чения.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22. Заболевания артерий. Классификация заболеваний. Истинные и ложные ан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вризмы кровеносных сосудов. Врожденные и травматические артериальные аневризмы. Патогенез. Клиника, методы диагностики. Показания к хирургическому лечению. Виды оперативных вм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шательств. Аневризмы грудной и брюшной аорты. Классификация, диагностика, лечение. Эк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тренные операции при расслоении, разрыве аневризмы.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 Синдром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Бадда-Киари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24. Ишемическая болезнь сердца. Клиника, диагностика, методы хирургического леч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ния Постинфарктная аневризма сердца. Классификация постинфарктных аневризм сердца. 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стота. Клиника, диагностика. Показания и противопоказания к операции. Принципы хирургич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ского лечения.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25. Осложнения желчнокаменной болезни. Клиника. Дооперационная и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интраоперац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онная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диагностика. Лечение. Показания к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холедохотомии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методы завершения ее. Эндоскоп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ческая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папиллотомия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Механическая желтуха как осложнение желчнокаменной болезни, пр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чины развития. Клиника. Диагностика. Дифференциальная диагност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ка, патогенез нарушений основных звеньев гомеостаза. Медикаментозная терапия при механической желтухе, методы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детоксикации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. Эндоскопический метод лечения больных с механической желтухой. Показания и выбор хирургических операций.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26. Основы клинической физиологии и патофизиологии заболеваний сердца. Классиф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кация. Общие и специальные методы исследования. Неотложные состояния в кардиохирургии и их терапия. Недостаточность кровообращения и терапия.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27. Желчнокаменная болезнь. Этиология и патогенез камнеобразования. Клиника, ди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гностика. Дифференциальная диагностика. Лечение (экстракорпоральная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литотрипсия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, медик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ментозное растворение камней), показания к операции. Методы операции, показания к ним. Значение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интраоперационных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методов исследования для выбора метода операции.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Холецистэ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томия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лапароскопическая</w:t>
      </w:r>
      <w:proofErr w:type="spellEnd"/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; из мини-доступа.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28. Опухоли и кисты средостения. Классификация, клиника, диагностика и дифференц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альная диагностика. Специальные методы исследования. Показания к операции. Медиастинит. Этиология, клиника переднего и заднего медиастинита. Диагностика, 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29. Рак прямой кишки. Заболеваемость. Факторы, способствующие развитию заболев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ния. Классификация. Клиника заболевания в зависимости от анатомической формы и локализ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ции. Диагностическая ценность различных методов исследования. Дифференциальная диагн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стика. Методы операции. Предоперационная подготовка и послеоп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рационное ведение больных раком прямой кишки. Лучевая терапия и химиотерапия. 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даленные результаты лечения.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30. Острые и хронические нагноительные заболевания легких. Классификация. Острый абсцесс легкого. Патогенез. Клиника острого абсцесса, диагностика, дифференциальная ди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гностика. Методы лечения. Показания к операции и виды оперативных вмешательств. Осло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нения. Хронический абсцесс легкого. Клиника, диагностика, лечение. Причины перехода остр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го абсцесса в хронический. Медикаментозное и хирургич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ское лечение.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31. Трещина прямой кишки. Причины возникновения. Клиника, диагностика, 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чение. Полипы прямой кишки. Клиника, диагностика,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32. Пневмоторакс. Буллезная эмфизема легких. Причины. Тотальный и огран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ченный пневмоторакс. Спонтанный, открытый, клапанный и напряженный пневмоторакс Особенности их развития и клинического течения. Диагностика. Первая помощь, леч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ние.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33. Гемоторакс – этиология, классификация, осложнения,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34. Геморрой. Классификация. Этиология. Патогенез. Вторичный геморрой. Клиника г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морроя и его осложнений. Консервативное и оперативное лечение геморроя, выбор метода 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чения. Предоперационная подготовка, ведение послеоперационного пер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ода.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35</w:t>
      </w:r>
      <w:r w:rsidRPr="000B6A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Гнойные заболевания пальцев кисти – панариций, гнойный тендовагинит, флегмона кисти. Этиология, патогенез, клиническая картина. Лечение.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36. Грыжи пищеводного отверстия диафрагмы. Классификация. Осложнения грыж. Ко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сервативное лечение скользящих грыж. Показания к оперативному лечению. 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37. Релаксация диафрагмы. Клиника, диагностика. Показания к операции, методы пл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стики диафрагмы при релаксации.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38. Гнойные процессы в клетчаточных пространствах. Флегмоны и абсцессы. Определ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ние понятий. Различия.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39. Диафрагмальные грыжи. Классификация. Травматические и нетравматические грыжи диафрагмы. Клиника, диагностика, показания к оперативному лечению и методы оперативных вмешательств.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40. Гнойные заболевания суставов и синовиальных сумок – гнойный артрит, гнойный бурсит.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41. Легочное кровотечение Причины, клиника, диагностика, современная тактика леч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ния больных.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42. Гнойные заболевания костей. Этиология, патогенез. Классификация. Клинич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ская картина остеомиелита. Принципы оперативного лечения.</w:t>
      </w:r>
    </w:p>
    <w:p w:rsidR="000B6A2E" w:rsidRPr="000B6A2E" w:rsidRDefault="000B6A2E" w:rsidP="000B6A2E">
      <w:pPr>
        <w:widowControl w:val="0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43. Эхинококкоз печени. Клиника, диагностика. Сочетанный эхинококкоз. Роль серол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B6A2E">
        <w:rPr>
          <w:rFonts w:ascii="Times New Roman" w:eastAsia="Calibri" w:hAnsi="Times New Roman" w:cs="Times New Roman"/>
          <w:sz w:val="24"/>
          <w:szCs w:val="24"/>
          <w:lang w:eastAsia="ru-RU"/>
        </w:rPr>
        <w:t>гических методов. Хирургическое лечение. Профилактика.</w:t>
      </w:r>
    </w:p>
    <w:p w:rsidR="000B6A2E" w:rsidRDefault="000B6A2E" w:rsidP="000B6A2E">
      <w:pPr>
        <w:widowControl w:val="0"/>
        <w:snapToGrid w:val="0"/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</w:p>
    <w:sectPr w:rsidR="000B6A2E" w:rsidSect="004E4B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hint="default"/>
      </w:rPr>
    </w:lvl>
  </w:abstractNum>
  <w:abstractNum w:abstractNumId="1">
    <w:nsid w:val="055427F7"/>
    <w:multiLevelType w:val="hybridMultilevel"/>
    <w:tmpl w:val="4552C9D8"/>
    <w:lvl w:ilvl="0" w:tplc="1FCC1B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18AB"/>
    <w:multiLevelType w:val="hybridMultilevel"/>
    <w:tmpl w:val="54DC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8514E"/>
    <w:multiLevelType w:val="hybridMultilevel"/>
    <w:tmpl w:val="7CD8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839A0"/>
    <w:multiLevelType w:val="hybridMultilevel"/>
    <w:tmpl w:val="5A32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435B4"/>
    <w:multiLevelType w:val="hybridMultilevel"/>
    <w:tmpl w:val="5812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4029"/>
    <w:multiLevelType w:val="hybridMultilevel"/>
    <w:tmpl w:val="0EBCA62A"/>
    <w:lvl w:ilvl="0" w:tplc="48A421E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A7014"/>
    <w:multiLevelType w:val="hybridMultilevel"/>
    <w:tmpl w:val="AA28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51C70"/>
    <w:multiLevelType w:val="hybridMultilevel"/>
    <w:tmpl w:val="B73E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90098"/>
    <w:multiLevelType w:val="hybridMultilevel"/>
    <w:tmpl w:val="6734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50FEA"/>
    <w:multiLevelType w:val="hybridMultilevel"/>
    <w:tmpl w:val="6316D9BC"/>
    <w:lvl w:ilvl="0" w:tplc="89D672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01F1C"/>
    <w:multiLevelType w:val="hybridMultilevel"/>
    <w:tmpl w:val="3ADED0EE"/>
    <w:lvl w:ilvl="0" w:tplc="EB5CA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63118"/>
    <w:multiLevelType w:val="hybridMultilevel"/>
    <w:tmpl w:val="F1F6F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912A3A"/>
    <w:multiLevelType w:val="hybridMultilevel"/>
    <w:tmpl w:val="C24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6434A"/>
    <w:multiLevelType w:val="hybridMultilevel"/>
    <w:tmpl w:val="518E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836DC"/>
    <w:multiLevelType w:val="hybridMultilevel"/>
    <w:tmpl w:val="E0BE861C"/>
    <w:lvl w:ilvl="0" w:tplc="7AF816F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53103"/>
    <w:multiLevelType w:val="hybridMultilevel"/>
    <w:tmpl w:val="0F5EC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C0E85"/>
    <w:multiLevelType w:val="hybridMultilevel"/>
    <w:tmpl w:val="3A2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46A0F"/>
    <w:multiLevelType w:val="hybridMultilevel"/>
    <w:tmpl w:val="EE26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D75B6"/>
    <w:multiLevelType w:val="hybridMultilevel"/>
    <w:tmpl w:val="951C0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85AEF"/>
    <w:multiLevelType w:val="hybridMultilevel"/>
    <w:tmpl w:val="AAD6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F3FE8"/>
    <w:multiLevelType w:val="hybridMultilevel"/>
    <w:tmpl w:val="B1BE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F1B06"/>
    <w:multiLevelType w:val="hybridMultilevel"/>
    <w:tmpl w:val="2C50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25E93"/>
    <w:multiLevelType w:val="hybridMultilevel"/>
    <w:tmpl w:val="266E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524C9"/>
    <w:multiLevelType w:val="hybridMultilevel"/>
    <w:tmpl w:val="FC8C2D52"/>
    <w:lvl w:ilvl="0" w:tplc="EAF8C7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12BAB"/>
    <w:multiLevelType w:val="hybridMultilevel"/>
    <w:tmpl w:val="6AFE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2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9"/>
  </w:num>
  <w:num w:numId="10">
    <w:abstractNumId w:val="26"/>
  </w:num>
  <w:num w:numId="11">
    <w:abstractNumId w:val="1"/>
  </w:num>
  <w:num w:numId="12">
    <w:abstractNumId w:val="10"/>
  </w:num>
  <w:num w:numId="13">
    <w:abstractNumId w:val="19"/>
  </w:num>
  <w:num w:numId="14">
    <w:abstractNumId w:val="17"/>
  </w:num>
  <w:num w:numId="15">
    <w:abstractNumId w:val="12"/>
  </w:num>
  <w:num w:numId="16">
    <w:abstractNumId w:val="13"/>
  </w:num>
  <w:num w:numId="17">
    <w:abstractNumId w:val="23"/>
  </w:num>
  <w:num w:numId="18">
    <w:abstractNumId w:val="11"/>
  </w:num>
  <w:num w:numId="19">
    <w:abstractNumId w:val="24"/>
  </w:num>
  <w:num w:numId="20">
    <w:abstractNumId w:val="25"/>
  </w:num>
  <w:num w:numId="21">
    <w:abstractNumId w:val="8"/>
  </w:num>
  <w:num w:numId="22">
    <w:abstractNumId w:val="0"/>
  </w:num>
  <w:num w:numId="23">
    <w:abstractNumId w:val="14"/>
  </w:num>
  <w:num w:numId="24">
    <w:abstractNumId w:val="5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10"/>
    <w:rsid w:val="00016C37"/>
    <w:rsid w:val="000245C5"/>
    <w:rsid w:val="0002647B"/>
    <w:rsid w:val="00040127"/>
    <w:rsid w:val="0004391B"/>
    <w:rsid w:val="00054334"/>
    <w:rsid w:val="000556FD"/>
    <w:rsid w:val="00055D4D"/>
    <w:rsid w:val="000628CC"/>
    <w:rsid w:val="000B6A2E"/>
    <w:rsid w:val="000E373B"/>
    <w:rsid w:val="000E67D5"/>
    <w:rsid w:val="00133602"/>
    <w:rsid w:val="00137202"/>
    <w:rsid w:val="001903BB"/>
    <w:rsid w:val="0019163C"/>
    <w:rsid w:val="001A17EA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2D55C4"/>
    <w:rsid w:val="00361271"/>
    <w:rsid w:val="003D6F89"/>
    <w:rsid w:val="00444CDF"/>
    <w:rsid w:val="00447D9B"/>
    <w:rsid w:val="00492510"/>
    <w:rsid w:val="004A26A3"/>
    <w:rsid w:val="004E4B3D"/>
    <w:rsid w:val="004E613E"/>
    <w:rsid w:val="00581211"/>
    <w:rsid w:val="005C7EF4"/>
    <w:rsid w:val="005E7548"/>
    <w:rsid w:val="00660925"/>
    <w:rsid w:val="00661031"/>
    <w:rsid w:val="006678F6"/>
    <w:rsid w:val="0067179F"/>
    <w:rsid w:val="00696A2C"/>
    <w:rsid w:val="006A55D0"/>
    <w:rsid w:val="006D7E9A"/>
    <w:rsid w:val="00721DF9"/>
    <w:rsid w:val="00736276"/>
    <w:rsid w:val="007C293A"/>
    <w:rsid w:val="00800210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A37377"/>
    <w:rsid w:val="00A54EAB"/>
    <w:rsid w:val="00A624C6"/>
    <w:rsid w:val="00A71412"/>
    <w:rsid w:val="00AC49E4"/>
    <w:rsid w:val="00AD1C18"/>
    <w:rsid w:val="00B376DC"/>
    <w:rsid w:val="00B406F6"/>
    <w:rsid w:val="00B526E4"/>
    <w:rsid w:val="00BF2105"/>
    <w:rsid w:val="00C36B9D"/>
    <w:rsid w:val="00C550BE"/>
    <w:rsid w:val="00C73ED1"/>
    <w:rsid w:val="00C775F2"/>
    <w:rsid w:val="00C77A25"/>
    <w:rsid w:val="00C94215"/>
    <w:rsid w:val="00CA3CB9"/>
    <w:rsid w:val="00CB0B1F"/>
    <w:rsid w:val="00CB4596"/>
    <w:rsid w:val="00CF1ADB"/>
    <w:rsid w:val="00D13FDF"/>
    <w:rsid w:val="00D62A10"/>
    <w:rsid w:val="00D73AB0"/>
    <w:rsid w:val="00DD42BE"/>
    <w:rsid w:val="00DE767B"/>
    <w:rsid w:val="00E276DB"/>
    <w:rsid w:val="00E67CC8"/>
    <w:rsid w:val="00E829A5"/>
    <w:rsid w:val="00F27DB1"/>
    <w:rsid w:val="00F53B32"/>
    <w:rsid w:val="00F805BF"/>
    <w:rsid w:val="00FB0944"/>
    <w:rsid w:val="00FC578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1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92510"/>
    <w:pPr>
      <w:keepNext/>
      <w:numPr>
        <w:numId w:val="2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10"/>
    <w:pPr>
      <w:keepNext/>
      <w:numPr>
        <w:ilvl w:val="1"/>
        <w:numId w:val="2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2510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2510"/>
    <w:pPr>
      <w:numPr>
        <w:ilvl w:val="4"/>
        <w:numId w:val="2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2510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2510"/>
    <w:pPr>
      <w:keepNext/>
      <w:numPr>
        <w:ilvl w:val="6"/>
        <w:numId w:val="22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2510"/>
    <w:pPr>
      <w:numPr>
        <w:ilvl w:val="7"/>
        <w:numId w:val="2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2510"/>
    <w:pPr>
      <w:numPr>
        <w:ilvl w:val="8"/>
        <w:numId w:val="2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510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51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2510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251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251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251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925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49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510"/>
  </w:style>
  <w:style w:type="paragraph" w:styleId="a4">
    <w:name w:val="Balloon Text"/>
    <w:basedOn w:val="a"/>
    <w:link w:val="a5"/>
    <w:uiPriority w:val="99"/>
    <w:semiHidden/>
    <w:unhideWhenUsed/>
    <w:rsid w:val="0049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2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1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92510"/>
    <w:pPr>
      <w:keepNext/>
      <w:numPr>
        <w:numId w:val="22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10"/>
    <w:pPr>
      <w:keepNext/>
      <w:numPr>
        <w:ilvl w:val="1"/>
        <w:numId w:val="2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2510"/>
    <w:pPr>
      <w:keepNext/>
      <w:numPr>
        <w:ilvl w:val="3"/>
        <w:numId w:val="2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2510"/>
    <w:pPr>
      <w:numPr>
        <w:ilvl w:val="4"/>
        <w:numId w:val="2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2510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2510"/>
    <w:pPr>
      <w:keepNext/>
      <w:numPr>
        <w:ilvl w:val="6"/>
        <w:numId w:val="22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2510"/>
    <w:pPr>
      <w:numPr>
        <w:ilvl w:val="7"/>
        <w:numId w:val="2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2510"/>
    <w:pPr>
      <w:numPr>
        <w:ilvl w:val="8"/>
        <w:numId w:val="2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510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9251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2510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251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251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251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9251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rsid w:val="0049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510"/>
  </w:style>
  <w:style w:type="paragraph" w:styleId="a4">
    <w:name w:val="Balloon Text"/>
    <w:basedOn w:val="a"/>
    <w:link w:val="a5"/>
    <w:uiPriority w:val="99"/>
    <w:semiHidden/>
    <w:unhideWhenUsed/>
    <w:rsid w:val="0049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7</cp:revision>
  <dcterms:created xsi:type="dcterms:W3CDTF">2017-05-25T08:52:00Z</dcterms:created>
  <dcterms:modified xsi:type="dcterms:W3CDTF">2020-08-18T14:01:00Z</dcterms:modified>
</cp:coreProperties>
</file>