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B0" w:rsidRPr="008D5874" w:rsidRDefault="001919B0" w:rsidP="001919B0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DA1D44" wp14:editId="70A1A55F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B0" w:rsidRPr="008D5874" w:rsidRDefault="001919B0" w:rsidP="001919B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1919B0" w:rsidRPr="008D5874" w:rsidRDefault="001919B0" w:rsidP="001919B0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1919B0" w:rsidRPr="0015550E" w:rsidRDefault="001919B0" w:rsidP="001919B0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1919B0" w:rsidRPr="00340429" w:rsidRDefault="001919B0" w:rsidP="001919B0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5905" w:rsidRPr="00A1443B" w:rsidRDefault="006F5905" w:rsidP="006F590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5"/>
          <w:szCs w:val="15"/>
        </w:rPr>
      </w:pPr>
      <w:bookmarkStart w:id="0" w:name="_GoBack"/>
      <w:bookmarkEnd w:id="0"/>
    </w:p>
    <w:p w:rsidR="006F5905" w:rsidRPr="00A1443B" w:rsidRDefault="006F5905" w:rsidP="006F590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5"/>
          <w:szCs w:val="15"/>
        </w:rPr>
      </w:pPr>
    </w:p>
    <w:p w:rsidR="006F5905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6F5905" w:rsidRPr="003D6368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6368">
        <w:rPr>
          <w:rFonts w:ascii="Times New Roman" w:eastAsia="Times New Roman" w:hAnsi="Times New Roman"/>
          <w:b/>
          <w:sz w:val="28"/>
          <w:szCs w:val="28"/>
        </w:rPr>
        <w:t>К ГОСУДАРСТВЕННОМУ ЭКЗАМЕНУ</w:t>
      </w:r>
    </w:p>
    <w:p w:rsidR="006F5905" w:rsidRPr="005D275F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:rsidR="006F5905" w:rsidRPr="005D275F" w:rsidRDefault="006F5905" w:rsidP="006F5905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5D275F">
        <w:rPr>
          <w:rFonts w:ascii="Times New Roman" w:hAnsi="Times New Roman"/>
          <w:b/>
          <w:sz w:val="28"/>
          <w:szCs w:val="28"/>
        </w:rPr>
        <w:t>По направлению подготовки 33.06.01 Фармация,</w:t>
      </w:r>
    </w:p>
    <w:p w:rsidR="00286B16" w:rsidRPr="007C042B" w:rsidRDefault="00286B16" w:rsidP="00286B16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7C042B">
        <w:rPr>
          <w:rFonts w:ascii="Times New Roman" w:hAnsi="Times New Roman"/>
          <w:b/>
          <w:bCs/>
          <w:sz w:val="28"/>
          <w:szCs w:val="28"/>
        </w:rPr>
        <w:t>по специальности</w:t>
      </w:r>
      <w:r w:rsidRPr="00A3798E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14.04.03 Организация фармацевтического дела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дидактика? Каковы научные основы процесса обучения (культур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логические, нормативные, психологические, этические, физиологические, информацио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ные)?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психолого-педагогические компоненты содержания высшего медици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образования? Научные основы определения содержания образования: факторы, вл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яющие на отбор содержания, компоненты содержания, подходы к определению содерж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 образования.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психолого - дидактическую характеристику форм организации учебной деятельн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лекция - пресс-конференция, лекция с заранее запланированными ошибк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ми).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тодов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обучения.Как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взаимосвязаны методы и приемы обучения?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теоретические основы интенсификации обучения посредством испол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классификации педагогических технологий вам известны? В чем заключается во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можность их применения в практике медицинского вуза?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характеристику технологии контекстного обучения, технологии проблемного обуч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технологии модульного обучения. Что представляют собой информационные технол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гии обучения, кейс-метод?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представляют собой средства обучения и контроля как орудия педагогической деятел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ности? Характеристика средств обучения и контроля.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типологии личности студента вам известны? Студент как субъект учебной деятел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 и самообразования.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 понимается под педагогической коммуникацией? Сущность, структура педагогическ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общения; стили и модели педагогического общения. Каковы особенности педагогич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общения в вузе?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воспитание как общественное и педагогическое явление? В чем з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ключаются культурологические основания воспитательного процесса?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-образовательного проце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 и как субъект деятельности? Педагогическое взаимодействие в воспитании?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сущностная характеристика основных методов, средств и форм восп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тания личности?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проведения?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Дидактика в системе наук о человеке. Научные основы процесса обучения (культуролог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ческие, нормативные, психологические, этические, физиологические, информационные).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работа студентов как развитие и самоорганизация личности обучаемых.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Лекция как ведущая форма организации образовательного процесса в вузе. Развитие лекц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онной формы в системе вузовского обучения (проблемная лекция, лекция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методов обучения. Соотношение методов и приемов. Характеристика 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новных методов и приемов в обучении.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Классификации педагогических технологий, возможность их применения в практике мед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контекстного обучения; технология проблемного обучения; кейс-метод; техн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логия модульного обучения; информационные технологии обучения, дистанционное обр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зование.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средства обучения и контроля как орудия педагогической деятельности. Характ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ристика средств обучения и контроля.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Дидактические требования к использованию средств обучения.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 как субъект учебной деятельности и самообразования. Типологии личности ст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дента.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Происхождение воспитания и основные теории, объясняющие этот феномен. Культурол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гические основания воспитательного процесса.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Обучающийся как объект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-образовательного процесса и как субъект деятел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ности. Педагогическое взаимодействие в воспитании.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воспитания личности. (Базовая культура личности и пути ее форм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рования.)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 </w:t>
      </w:r>
    </w:p>
    <w:p w:rsidR="00286B16" w:rsidRPr="00286B16" w:rsidRDefault="00286B16" w:rsidP="00286B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Теоретико-методологические основания управления образовательными системами.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61 . Организация фармацевтической помощи.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62. Организация фармации как наука, ее цели, задачи, объекты и предметы исследований. 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сто организации фармации в современном знании. Связь организаций фармации с другими фармацевтическими, медицинскими, экономическими, социологическими, управленческими, юридическими и другими науками.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63. Основные направления дифференциации организации фармации как науки: фармацевтич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ский маркетинг и организация фармацевтической помощи; экономика фармацевтических орг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низаций; учет в фармацевтических организациях: кадровый, процессный, финансовый, иннов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и инвестиционный менеджмент, риск-менеджмент в фармацевтических организациях;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фармакоэпидемиология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, фармацевтическая география в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соцэкосистемах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фармакоинформатика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фармакоэкономика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. Логистика.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64. Основы методологии организационно-экономических исследований в фармации.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65. Понятие методология научного исследования. Абстрактная открытая гипотетическая синт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тическая модель объекта исследования как основа методологии.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66. Основные методы организационно-экономических исследований в фармации: общенаучные методы исследований (исторический, логический, системный анализ и др.); статистические 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тоды (группировка, построение вариационных рядов, корреляционный анализ, дисперсионный анализ, анализ временных рядов, кластерный анализ и др.); социологические методы (экспер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оценок и др.); методы анализа и нормирования труда в фармации (фотографии рабочего дня, хронометраж и др.); методы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фармакоэпидемиологии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; методы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фармакоэкономики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; методы оценки состояния фармацевтической бизнес единицы (анализ финансовых результатов деятел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ности, анализ финансового состояния предприятия, анализ деловой активности и эффективной деятельности предприятия; методика комплексной оценки эффективности хозяйственной де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тельности); метод кадрового, процессного, финансового и риск-менеджмента; метод програм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но-целевого планирования и его использование в фармации.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67. Системы в фармации. Методы изучения систем. Моделирование систем. Открытые и закр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тые модели системы. Адекватность модели. Основы методологии системного анализа.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68. Здравоохранение как система. Принципы национального здравоохранения. Основы прав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вого законодательства по здравоохранению РФ.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69. Стандартизация в здравоохранении и в сфере обращения лекарств.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70. Подсистема фармацевтической помощи. Цели и задачи: изучение запросов и нужд потреб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телей, конструирование (создание) аптечных товаров, в первую очередь лекарств, их произво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ство, регистрация, контроль качества и сертификации, доведение до потребителя, мониторинг за побочными эффектами, фармацевтическая информация, защита прав потребителей фарм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цевтической помощи, непрерывного фармацевтического образования, государственного рег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лирования обращения лекарственных средств.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71. Основные характеристики и тенденции развития системы фармацевтической помощи и фармацевтического рынка РФ.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72. Правовое поле обращения лекарственных средств, других фармацевтических и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парафарм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цевтических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 фармацевтической деятельности.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73. Основы законодательства Российской Федерации о лекарственных средствах: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 и нормативные акты государственного регулирования отношений, возник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ющих в сфере обращения лекарственных средств (гос. регистрация лекарственных средств; 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цензирование деятельности в сфере обращения их; аттестация и сертификация специалистов, занятых в сфере обращения лекарственных средств; государственного контроля производства, изготовления, качества, эффективности, безопасности лекарственных средств.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74. Полномочия Правительства и органов исполнительной власти РФ в сфере обращения лека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ственных средств; законодательные, нормативные акты и отраслевые стандарты в области Го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ударственной системы контроля качества, эффективности и безопасности лекарственных средств; производства и изготовления лекарственных средств, государственной регистрации их; ввоза лекарственных средств на территорию РФ и вывоза их из России; оптовой и розничной торговли лекарственными средствами; разработки новых лекарственных средств; госуда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ственных гарантий доступности лекарственных средств; информации о лекарственных сре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ствах и их рекламе; ответственности за вред, нанесенный здоровью человека применением 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карственных средств.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75. Федеральный закон от 31 марта </w:t>
      </w:r>
      <w:smartTag w:uri="urn:schemas-microsoft-com:office:smarttags" w:element="metricconverter">
        <w:smartTagPr>
          <w:attr w:name="ProductID" w:val="2010 г"/>
        </w:smartTagPr>
        <w:r w:rsidRPr="00286B16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. №61-ФЗ «Об обращении лекарственных средств».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76.Основы законодательства Российской Федерации о наркотических средствах, психотропных веществах и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прекурсорах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77. Федеральный закон от 8 января </w:t>
      </w:r>
      <w:smartTag w:uri="urn:schemas-microsoft-com:office:smarttags" w:element="metricconverter">
        <w:smartTagPr>
          <w:attr w:name="ProductID" w:val="1998 г"/>
        </w:smartTagPr>
        <w:r w:rsidRPr="00286B16">
          <w:rPr>
            <w:rFonts w:ascii="Times New Roman" w:eastAsia="Times New Roman" w:hAnsi="Times New Roman"/>
            <w:sz w:val="24"/>
            <w:szCs w:val="24"/>
            <w:lang w:eastAsia="ru-RU"/>
          </w:rPr>
          <w:t>1998 г</w:t>
        </w:r>
      </w:smartTag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№ 3-ФЗ «О наркотических средствах и психотропных веществах» и другие законодательные и подзаконные акты по проблеме наркотических средств и психотропных веществ: Государственная политика в сфере оборота наркотических средств, психотропных веществ и области противодействия их незаконному обороту (ее принципы и направления).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78. Перечень наркотических средств, психотропных веществ и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, подлежащих контролю в РФ. Государственная монополия на основные виды деятельности, связанные с об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ротом наркотических средств и психотропных веществ.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79. Организационная основа деятельности в сфере оборота наркотических средств и псих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тропных веществ и в области противодействия их незаконному обороту.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80.Особенности лицензионной деятельности, связанной с оборотом наркотических средств и психотропных веществ.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81. Условия осуществления отдельных видов деятельности, связанных с оборотом наркотич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средств, психотропных веществ и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НСПВиП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), ограничение или запрещ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оборота некоторых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НСПВиП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, разработка наркотических средств и психотропных веществ (НСПВ), их производство и изготовление. Переработка в целях получения препаратов, внесе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ных в списки П и Ш.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82. Запрет приватизации и иных форм разгосударствления государственных унитарных пре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приятий и учреждений, находящихся в федеральной собственности, занимающихся разрабо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кой, производством, изготовлением НСПВ или входящих в единый технологический комплекс, связанных с производством НСПВ, внесенных в список П.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83. Законодательное и нормативное регулирование: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– хранения, порядка перевозки, запрещения пересылки, ввоза (вывоза), приобретения, упаковки и маркировки НСПВ;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- уничтожения НСПВ и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, инструментов и оборудования, дальнейшее использ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вание которых признано нецелесообразным;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– отпуска физическим лицам по рецептам НСПВ и их использования.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84. Противодействие незаконному обороту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НСПВиП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85. Права потребителей фармацевтической помощи в РФ, система защиты прав потребителей фармацевтической помощи.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86. Защита прав потребителей фармацевтической помощи – центральная проблема перехода Российской Федерации к правовому государству и рынку потребителя.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87. Система защиты прав потребителей фармацевтической помощи, цель, внутренне строение, внешняя среда.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88. Правовые основы системы защиты прав потребителей фармацевтической помощи (ЗППФП): в федеральных законах «Основы законодательства об охране здоровья граждан», «Об обращении лекарственных средств», «О наркотических средствах и психотропных вещ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ствах», «О рекламе», «О защите прав потребителей», «О сертификации продукции и услуг», «О 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ветеранах»; постановлениях Правительства РФ, законах и постановлениях правительства суб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ектов РФ, нормативных актах министерств и ведомств и др.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89. Формулярная система, как инструмент обеспечения прав потребителей ЛС.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90. Формы хозяйствования: индивидуальная трудовая деятельность, товарищества (полные и смешанные), Акционерные общества (закрытые и открытые), торговые дома, фирмы, концерны, синдикаты, холдинги, финансово-промышленные группы, государственные и муниципальные унитарные предприятия. Приватизация фармацевтических организаций и предприятий.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91. Розничное звено системы доведения аптечных товаров до потребителей.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92. Аптека — центральное звено в каналах движения фармацевтических и других товаров 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течного ассортимента.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93. Правила надлежащей фармацевтической практики (GPP)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94. Определение, задачи и функции аптек, классификация. Принципы размещения аптек. Орг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низационное проектирование аптек. Инженерное обустройство помещений, оборудование и оснащение. Номенклатура должностей аптечных работников; рекомендуемые штатные норм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тивы. Моделирование организации аптек в зависимости от объема и специфики работы. Лице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зирование фармацевтической деятельности, аккредитация аптечных учреждений и физических лиц.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95. Товарная политика – основной элемент маркетинговой функции аптеки. Товар, номенклат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ра и ассортимент аптечных товаров. Основные направления товарной политики. Анализ жи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ненного цикла аптечных товаров (ЖЦТ). Концепция жизненно-необходимых и важнейших 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карств. Формирование ассортимента товаров в аптеке (ассортиментная политика): определение рационального набора одновременно обращаемых на рынке товаров в зависимости от ЖЦТ; установление оптимальной товарной номенклатуры; разработка перечня обязательного ассо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тимента; оптимизация ассортимента с учетом скорости реализации; обновление ассортимента. Разработка новых товаров и услуг.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96. Принципы определения потребности и изучения спроса на лекарственные препараты (ЛП). Факторы, формирующие потребность в ЛП, их классификация. Методы определения потребн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сти. Взаимосвязь понятий: потребность, спрос и потребление. Факторы, формирующие спрос. Принципы классификации спроса на ЛП. Исследование факторов, формирующих спрос. Цен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вая и подоходная эластичность, их измерение. Определение размеров спроса. Управление п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требительским поведением. Система формирования спроса и стимулирования сбыта. Особе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ности рекламы фармацевтических товаров.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97. Обеспечение аптеки товарами. Формирование заказа аптеки на товары. Принципы форм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рования цен и распределение наценок между партнерами товародвижения. Поставщики фарм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цевтических товаров на рынке России. Формы условий поставки. Поставка на условиях конси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нации. Выбор поставщика и условий поставки. Контракт на поставку товаров аптеке.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98.Получение товаров аптекой от поставщиков. Документальное оформление поступления 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варов по количеству мест при завозе в аптеку. Приемка товаров по количеству и качеству. П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рядок предъявления претензий по поставкам. Принципы и приемы размещения товаров по 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стам хранения в аптеке. Влияние характера и объема работы аптеки на специализацию мест хранения и организационную структуру аптеки. Графическое моделирование организации хр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нения аптечных товаров. Персонал, ответственный за получение товаров аптекой и его реализ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цию. Организация контроля над своевременностью реализации товаров в зависимости от их срока годности.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99. Организация приема заказов на изготовление лекарственных препаратов (ЛП) по амбул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торным рецептам и отпуска готовых и изготовленных ЛП из аптек. Фармацевтическая экспе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тиза рецепта, цели, установление действенности рецепта как юридического и финансового 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кумента. Алгоритм экспертизы рецепта. Способы оформления заказов на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экстемпоральные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ЛП,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таксирование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заказа. Первичный учет амбулаторной рецептуры и объема реализации по этому виду. Организация рабочих мест по приему заказов и отпуску ЛП по амбулаторным рецептам в аптеках с разным объемом работы на основе использования принципов научной 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ганизации труда (НОТ). Автоматизированное рабочее место провизора по фармацевтической экспертизе рецептов. Осуществление денежных расчетов с населением. Закон РФ «О примен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нии контрольно-кассовых машин при осуществлении денежных расчетов с населением». Пр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вила применения контрольно-кассовых машин в аптеках.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100. Организация изготовления лекарственных препаратов по амбулаторным рецептам и треб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ваниям лечебно-профилактических учреждений. Организация лабораторных и фасовочных 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бот в аптеке. Изучение рецептуры как основы научной организации труда в аптеках. Реализация принципов НОТ и управления процессами на основе системного подхода при изготовлении 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карственных препаратов. Использование методов декомпозиции с выделением контрольных точек при организации процесса изготовления ЛП. Блок-схема процесса изготовления разли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ных типов ЛП (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инфузионные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инъекционные растворы, ЛП, содержащие наркотические и яд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витые лекарственные вещества, и др.).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101. Нормирование труда. Разделение и специализация труда в этой области. Особенности 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ганизации изготовления ЛП в асептических условиях. Организация рабочих мест. Максимал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ные запасы, порядок хранения и выдачи ядовитых и наркотических веществ для изготовления ЛП, предметно-количественный учет этих веществ и их содержащих готовых лекарственных средств. Аттестация рабочих мест. Коэффициент оснащения и организации рабочих мест. 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тод бездефектного труда. Документирование работы по изготовлению ЛП, лабораторных и ф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совочных работ. Организация безрецептурного отпуска аптечных товаров. Документирование его.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102. Организация внутриаптечного контроля. Должностные лица, ответственные за организ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цию и проведение внутриаптечного контроля, мероприятия, обеспечивающие качество ЛП: графическая модель типичных технологических процессов с выделением контрольных точек. Контроль вспомогательных работ, основного технологического процесса, обезвреживания 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ходов и оборудования. Предупредительные мероприятия, (приемочный контроль, контроль 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рья и материалов, очищенной воды и воды для инъекций, полуфабрикатов; обеспечение сроков и условий хранения ЛП; соблюдение санитарного режима и фармацевтического порядка; обе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печение исправности и точности средств измерения, регулярность их проверки, тщательность фармацевтической экспертизы рецептов и требований), контроль технологического процесса (контроль отпуска ядовитых и наркотических веществ; полуфабрикатов и концентратов, стаб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лизаторов и буферных растворов для глазных капель; регистрация этих работ). Особенности организации контроля изготовления инъекционных растворов.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103. Организация специализированного рабочего места для контроля качества ЛП в аптеках с различным объемом реализации и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экстемпоральной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рецептуры. Оформление документации по проведению контроля ЛП в аптеке и изъятия на анализ ЛП контрольно-аналитической лабор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торией.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104. Аптечные пункты и другие формы розничной реализации.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105. Обеспечение лекарственными препаратами и изделиями медицинского назначения лече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но-профилактических и других учреждений. Подсистема фармацевтической помощи стаци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нарным больным. Организация работы больничной и межбольничной аптек: задачи и функции, порядок организации, классификация, организационное проектирование, штат. Формирование номенклатуры и объема заказа лечебно-профилактического учреждения. Выбор поставщиков. Договорно-правовые обязательства лечебно-профилактических учреждений и поставщиков.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106. Фармацевтическая экспертиза требований лечебно-профилактических учреждений, пост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пающих в аптеки. Порядок отпуска товаров в отделения и кабинеты. Запас товаров в аптеках и отделениях (кабинетах). Учет товарно-материальных ценностей в аптеках и отделениях. Оформление первичной документации. Контроль зав. аптекой за хранением и расходованием ЛП в отделениях и кабинетах. Участие фармацевтического персонала аптеки ЛПУ в решении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фармакоэкономических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и составлении формуляра аптечных товаров ЛПУ.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107. Организация сбыта товаров аптечного ассортимента. Сбыт, его основные виды. Этапы 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ганизации сбытовой сети в аптечной системе. Организация сбыта по виду продукции, по реги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нам, по типам потребителей. Оптовое звено в системе распространения аптечных товаров. К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налы товародвижения. Оптовые посредники: задачи, функции, классификация.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108. Аптечный и мелкооптовый аптечный склады – оптовое звено в каналах распространения аптечных товаров. Организация работы аптечного склада: принципы размещения и проектир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вания, организационная структура и штат. Прием товаров на складе, работа приемного отдела склада. Принципы хранения товаров. Управление товарными запасами: определение гаранти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ного запаса, принципы размещения товаров на складе. Отпуск товаров со склада в аптеку. 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гистика прохождения документов по заказам и их выполнения. Транспортная логистика: при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ципы доставки товаров в аптеки. Виды транспортировки.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109. Учет и анализ хозяйственно-финансовой деятельности аптеки и малого фармацевтического предприятия. Хозяйственный учет и его роль в системе управления. 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110. Хозяйственный учет как информационная система для принятия управленческих решений. Учетная политика организации. Задачи, требования, предъявляемые к учету. Виды учета (оп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ративный, статистический, бухгалтерский). Финансовый и управленческий учет. Учетные 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мерители. Бухгалтерский учет: предмет и метод. Хозяйственные средства аптеки: состав, ра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мещение, использование и источники образования. Хозяйственные процессы. Учетная полит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111. Бухгалтерский баланс. Виды балансов. Строение актива и пассива баланса. Статьи баланса. План счетов. Система синтетических и аналитических счетов. Простые и сложные бухгалте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ские проводки. Метод двойной записи. Оборотные ведомости. Учетные регистры.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112. Основные средства. Документальное оформление движения основных средств. Износ (амортизация) основных средств. Синтетический и аналитический учет основных средств. Ко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респонденция счетов по учету основных средств и их износа.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113. Учет производственных запасов. Учет движения материалов: малоценных и быстроизн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шивающихся предметов, вспомогательных материалов, тары, ЛРС и прочих ценностей. Формы первичной документации по приходу и расходу материалов. Синтетический и аналитический учет материалов. Корреспонденция счетов по учету материалов.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114. Учет движения товаров в аптеке. Формы первичной документации по приходу товаров. Расход товаров: реализация и прочий документированный расход. Формы первичной докуме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тации по расходу товаров. Синтетический и аналитический учет прихода и расхода товаров. Корреспонденция счетов по учету движения товаров.</w:t>
      </w:r>
    </w:p>
    <w:p w:rsidR="00286B16" w:rsidRPr="00286B16" w:rsidRDefault="00286B16" w:rsidP="0028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115. Учет денежных средств и расчетов. Правила ведения кассовых операций, обязанности счетных работников. Движение наличных денежных средств. Приходные и расходные кассовые операции. Оформление первичных кассовых документов. Синтетический и аналитический учет денежных средств. Корреспонденция счетов по учету денежных средств. Учет расчетов. Пол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жение о безналичных расчетах. Оформление первичных документов по расчетам с бюджетом (или поставщиками и покупателями). Учет операций по расчетному и валютному счетам. Ко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респонденция счетов по учету расчетов.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кредитов банка и заемных средств. Учет уставного фонда.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Учет труда и заработной платы. Учет отработанного времени. Элементы трудового зак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нодательства России. Виды заработной платы и формы оплаты труда. Договор и трудовые 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глашения. Выплаты пособий за счет средств социального страхования пенсионного фонда. Удержание заработной платы. Оформление первичной документации по учету заработной платы. Синтетический и аналитический учет заработной платы. Корреспонденция счетов по учету заработной платы.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Учет издержек обращения аптеки. Классификация издержек обращения. Издержки, включаемые в себестоимость и относимые на финансовые результаты. Особенности опред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ления издержек обращения на остаток товаров. Синтетический и аналитический учет изде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жек. Корреспонденция счетов.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Учет финансовых результатов и их использование. Налоговая система в РФ. Синтетич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ский и аналитический учет налогообложения валового дохода и прибыли. Корреспонденция счетов. Использование прибыли.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Инвентаризация основных средств, товарно-материальных и других ценностей.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Отчетность аптек. Виды отчетности, месячный счет. Составление квартальных и годов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го балансов и приложений к ним. Оформление статистический отчетности, отчетов в пенс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онный фонд и фонд занятости. Чтение баланса.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Ведение бухгалтерского учета и применения регистров на малых предприятиях. Прав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вая основа такого учета. Составление отчетности.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Система комплексной оценки по учетным данным состояния аптечного предприятия, имущественного состояния, производственного потенциала, деловой активности, финансовой устойчивости, платежеспособности, рентабельности, эффективности использования активов.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Автоматизация бухгалтерского учета. Аудит и органы контроля за хозяйственно-финансовой деятельностью аптеки и малого фармацевтического предприятия. Взаимоотн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шения аптечного предприятия с налоговой инспекцией. Календарь бухучета по уплате нал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Основы экономики аптек и других малых фармацевтических предприятий. Финансово-экономический анализ их деятельности.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в экономику аптеки. Особенности деятельности предприятий малого бизнеса. Преимущества и недостатки. Базовые формы собственности и организационно-правовые формы предприятий малого бизнеса. Стратегическое планирование.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Текущее планирование. Формы текущего планирования (разбивка стратегических пл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нов, составление годовых планов производства, финансового плана, плана маркетинга). 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кущее планирование. Методы текущего планирования (балансовый, нормативный (технико-экономических расчетов), экономико-математические методы, методы экономической эффе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тивности, экономико-аналитические (статистические методы).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Особенности действий основных экономических законов на фармацевтическом рынке (законов спроса и предложения, убывающей предельной полезности, закономерности потр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бительского поведения, изучение предпочтений (вкусов), потребительский выбор. Эласти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ность спроса. Количественные характеристика эластичности спроса. Коэффициенты ценовой, подоходной и перекрестной эластичности. Неценовые детерминанты спроса (потребительские вкусы, число покупателей на рынке, денежные доходы, цены на другие товары, потребител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ское ожидание). Эффект дохода, эффект замещения.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Рыночная система, ее составные части и функционирование. Модели рынков. Микр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экономика. Особенности экономики аптечной службы. Основные экономические показатели, характеризующие экономику аптечной службы: объем продаж, доход, чистая прибыль, 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держки (з/плата и производительность).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Основы ценообразования на лекарственные препараты. Стратегия ценообразования на лекарственные препараты. Цена: виды цен на ЛП. Факторы, влияющие на цены (факторы спроса, предложения, среды). Основные этапы разработки ценовой стратегии (цены, ценовая политика, реализация ценовой стратегии, корректировка цен). Выбор стратегии цены на 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вые ЛП, на ЛП, традиционно используемые во врачебной деятельности. Ценовая эласти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ность спроса.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сбыта. (Планирование объема реализации).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Реализация – как основной элемент сбыта. Факторы, влияющие на объем реализации ЛП и ИМН населению и ЛПУ. Цели анализа и планирования объема реализации (планирование, управление и контроль сбытовой деятельности). Зависимость объема реализации от организ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ции сбыта: по характеру потребителей, (население, ЛПУ, другие учреждения), по видам пр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дуктов (группам товара), по регионам. Методика текущего планирования объема реализации: сбор информации, анализ информации, выбор метода, получение результатов.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Запасы товаров и их нормирование. Товарное обеспечение объема реализации.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Классификация и оценка запасов (по рыночной цене, по средней цене, ЛИФО, ФИФО). Минимальный, средний и оптимальный максимальный запас. Факторы, влияющие на размер запаса. Анализ и планирование запасов. Точка заказа. Стандартный размер заказа. Определ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ние оптимального размера заказа, частоты поставки. Товарное покрытие объема реализации.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Издержки, составление смет будущих затрат. Состав (постоянные и переменные). Закон убывающей отдачи. Средние издержки и издержки за единицу продукции. Предельные 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держки. Состав издержек аптеки: затраты на основные материалы, вспомогательные матери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лы, затраты труда (прямые и косвенные), накладные – расходы (аренда, страхование, освещ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ние), амортизация, налоги и т.д.). Методы анализа и планирования затрат аптеки.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Валовая и чистая прибыль, проблемы максимизации прибыли. Валовый доход и пр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быль. Анализ и планирование валового дохода. Влияние факторов на валовый доход (измен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ние цены, реализация спроса). Факторы, влияющие на прибыль. Определение прибыли. Ан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лиз сбалансированного соотношения между объемом производства, издержками, прибылью. (Точка безубыточности производства).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Система информационного обеспечения в области создания, производства и реализации лекарственных препаратов, маркетинга и фармацевтического менеджмента. Автоматизир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ванные банки по лекарственным средствам. Государственный справочно-информационный фонд медикаментов, предприятий изготовителей и потребителей данной продукции, структ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ра, состав, принципы комплектования.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Межведомственные и региональные информационные структуры по вопросам лека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ственного обеспечения на территории России.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Информационные языки. Единая система классификации и кодирования по лекарстве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ным средствам. Рубрикаторы информационно-поисковые по лекарственным средствам и др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гим фармацевтическим проблемам.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поиск. Услуги библиотек по информационному поиску, автоматиз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рованные системы информационного поиска. Международные банки информации и докуме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тов в области фармации.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Алгоритм рутинного поиска научной, патентной и ведомственной информации в би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лиотеке. Источники и поиск региональной статистической медико-фармацевтической инфо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мации, необходимой для принятия оперативных и тактических решений в области хозя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ственно-финансовой деятельности аптеки и малого фармацевтического предприятия.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Концепция фармацевтического маркетинга. Фармацевтический маркетинг (ФМ) как часть общего маркетинга.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Основные определения, понятия и особенности ФМ. Фармацевтический маркетинг как система.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Подсистемы ФМ. Основные направления и перспективы маркетинговых исследований. Фармацевтический рынок, методы его изучения. Сегментирование рынка и позиционирование товаров на рынке ЛП. Конкуренция на фармацевтическом рынке (оценка товаров и услуг с ориентацией на целевую группу потенциальных покупателей). Оценка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конкурентноспособн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сти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Зеркало товара. Параметрический индекс. Сводный параметрический индекс конкуре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тоспособности. Последовательность оценки конкурентоспособности товара. Неценовые фа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торы конкурентоспособности. Формирование спроса и стимулирование сбыта в условиях конкурентных взаимоотношений.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Комплексный маркетинговый анализ потребления и прогнозирования потребности в ЛС. Организационная структура подразделений маркетинга, составление планов и бюджета ра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ходов.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Фармакоэкологическая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эконометрия — новое направление в изучении потребности в ЛС отдельных регионов с учетом мониторинга социальной экологии. Понятие о фармацевтич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ской географии – взаимосвязи общественного здоровья населения, лекарственного обеспеч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географической среды. 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Система создания, воспроизводства и поставки на производство лекарственных средств. Модель системы, регламентирование научно-исследовательских и опытно-конструкторских работ в этой области государственными актами и рекомендациями ВОЗ. Понятие о надлеж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щей лабораторной практике, надлежащей клинической практике по изучению фармаколог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ческих средств. Этические аспекты создания лекарств, их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предклинического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 кл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нических испытаний. Порядок регистрации и введения лекарственных, диагностических средств, медицинской техники и изделий медицинского назначения в Государственные 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естры, разрешающие их производство и применение.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Система промышленного производства лекарственных препаратов. Нормативно-правовое регулирование организации и деятельности фармацевтических предприятий; фарм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цевтических фабрик местного значения и заводов, специализированных аптечных предпри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тий по изготовлению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инфузионных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растворов, глазных капель и др. лекарственных средств; фармацевтических финансово-промышленных групп, холдингов. Основные отечественные производители аптечных товаров. Требования добротной производственной практики, этич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ские аспекты производства и конкуренции на рынке производителей лекарств.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Стандартизация лекарственных средств.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Контрольно-разрешительная система обеспечения качества лекарственных средств, 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мунобиологических препаратов, изделий медицинского назначения и медицинской техники. Цели, задачи, структура, нормативно-правовое регулирование, система лицензирования и се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тификации лекарственных средств. Порядок лицензирования и сертификации отечественных и зарубежных лекарственных средств.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Основы менеджмента. Функции и методы менеджмента.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термины, понятия, определения науки управления. </w:t>
      </w:r>
      <w:proofErr w:type="spellStart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Иерархиология</w:t>
      </w:r>
      <w:proofErr w:type="spellEnd"/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. Цель, принципы и функции менеджмента. Основные подходы к управлению. Виды управления. Модели и методы менеджмента в фармации.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Управление трудовым коллективом. Стиль руководства. Основные подходы к определ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нию и оценке различных стилей руководства. Авторитет руководителя. Методические при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мы оценки личностно-деловых качеств менеджера. Формальная и неформальная структуры организации. Социально-психологические методы управления коллективом. Социально-психологический климат коллектива. Конфликты, способы их предупреждения и разрешения. Модели управления конфликтами.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для реализации целей управления. Взаимоотн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шения. Основные условия официальных взаимоотношений. Ответственность, власть, подо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четность. Принципы распределения обязанностей. Деловые взаимодействия. Функционал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ные должностные и именные инструкции. Нормы управляемости.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Формы и методы организации и стимулирования труда.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Психология кадровой политики: принципы, правила, методы управления трудовыми р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сурсами аптечных учреждений. Этапы управления трудовыми ресурсами. Управление дисц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плиной труда. Оценка уровня работы подчиненных и контроль за их деятельностью. Аттест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ция провизоров и фармацевтов. Охрана труда. Система непрерывного фармацевтического 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разования.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Общие принципы делопроизводства и их применение в аптечных учреждениях и малых фармацевтических предприятиях.</w:t>
      </w:r>
    </w:p>
    <w:p w:rsidR="00286B16" w:rsidRPr="00286B16" w:rsidRDefault="00286B16" w:rsidP="00286B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Основы делопроизводства. Принципы единой государственной системы делопроизво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6B16">
        <w:rPr>
          <w:rFonts w:ascii="Times New Roman" w:eastAsia="Times New Roman" w:hAnsi="Times New Roman"/>
          <w:sz w:val="24"/>
          <w:szCs w:val="24"/>
          <w:lang w:eastAsia="ru-RU"/>
        </w:rPr>
        <w:t>ства. Организация документооборота. Проектирование и оформление бланков документов. Требования, предъявляемые к текстам документов. Виды основных организационно-распределительных документов.</w:t>
      </w:r>
    </w:p>
    <w:p w:rsidR="006F5905" w:rsidRPr="00DA5A50" w:rsidRDefault="006F5905" w:rsidP="00286B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6F5905" w:rsidRPr="00DA5A50" w:rsidSect="00DA5A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14A"/>
    <w:multiLevelType w:val="hybridMultilevel"/>
    <w:tmpl w:val="AC34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cs="Times New Roman" w:hint="default"/>
      </w:rPr>
    </w:lvl>
  </w:abstractNum>
  <w:abstractNum w:abstractNumId="2">
    <w:nsid w:val="060A6F8E"/>
    <w:multiLevelType w:val="hybridMultilevel"/>
    <w:tmpl w:val="E99E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A184E"/>
    <w:multiLevelType w:val="hybridMultilevel"/>
    <w:tmpl w:val="58AA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DA211A"/>
    <w:multiLevelType w:val="hybridMultilevel"/>
    <w:tmpl w:val="22AA2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A769D"/>
    <w:multiLevelType w:val="hybridMultilevel"/>
    <w:tmpl w:val="67C6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A2054"/>
    <w:multiLevelType w:val="hybridMultilevel"/>
    <w:tmpl w:val="CB1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253783"/>
    <w:multiLevelType w:val="hybridMultilevel"/>
    <w:tmpl w:val="C52EE9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211D0"/>
    <w:multiLevelType w:val="hybridMultilevel"/>
    <w:tmpl w:val="21CA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E64192"/>
    <w:multiLevelType w:val="hybridMultilevel"/>
    <w:tmpl w:val="8CE0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F4DE3"/>
    <w:multiLevelType w:val="hybridMultilevel"/>
    <w:tmpl w:val="9F3E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375C0C"/>
    <w:multiLevelType w:val="hybridMultilevel"/>
    <w:tmpl w:val="E010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6B68F2"/>
    <w:multiLevelType w:val="hybridMultilevel"/>
    <w:tmpl w:val="B1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C26A8"/>
    <w:multiLevelType w:val="hybridMultilevel"/>
    <w:tmpl w:val="61F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5C51BC"/>
    <w:multiLevelType w:val="hybridMultilevel"/>
    <w:tmpl w:val="D032945E"/>
    <w:lvl w:ilvl="0" w:tplc="D6029A5E">
      <w:start w:val="116"/>
      <w:numFmt w:val="decimal"/>
      <w:lvlText w:val="%1."/>
      <w:lvlJc w:val="left"/>
      <w:pPr>
        <w:tabs>
          <w:tab w:val="num" w:pos="537"/>
        </w:tabs>
        <w:ind w:left="180" w:firstLine="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E42F4"/>
    <w:multiLevelType w:val="hybridMultilevel"/>
    <w:tmpl w:val="B2F27994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A3972"/>
    <w:multiLevelType w:val="hybridMultilevel"/>
    <w:tmpl w:val="DAFA576E"/>
    <w:lvl w:ilvl="0" w:tplc="04190017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0419001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273227"/>
    <w:multiLevelType w:val="hybridMultilevel"/>
    <w:tmpl w:val="9814A222"/>
    <w:lvl w:ilvl="0" w:tplc="333E2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B56860"/>
    <w:multiLevelType w:val="hybridMultilevel"/>
    <w:tmpl w:val="CCFED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D37350"/>
    <w:multiLevelType w:val="hybridMultilevel"/>
    <w:tmpl w:val="4F920DBC"/>
    <w:lvl w:ilvl="0" w:tplc="221E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97D42"/>
    <w:multiLevelType w:val="hybridMultilevel"/>
    <w:tmpl w:val="57B2A81E"/>
    <w:lvl w:ilvl="0" w:tplc="CF1E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AA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7C8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A0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E0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FC9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FA2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66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9ED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F0163E"/>
    <w:multiLevelType w:val="hybridMultilevel"/>
    <w:tmpl w:val="E4F0888E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84FEB"/>
    <w:multiLevelType w:val="hybridMultilevel"/>
    <w:tmpl w:val="6C0EB29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4F51A7"/>
    <w:multiLevelType w:val="hybridMultilevel"/>
    <w:tmpl w:val="4AD0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E37EEE"/>
    <w:multiLevelType w:val="hybridMultilevel"/>
    <w:tmpl w:val="69C8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D43E0"/>
    <w:multiLevelType w:val="hybridMultilevel"/>
    <w:tmpl w:val="4402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85A67"/>
    <w:multiLevelType w:val="hybridMultilevel"/>
    <w:tmpl w:val="DA9ADECC"/>
    <w:lvl w:ilvl="0" w:tplc="B040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12"/>
  </w:num>
  <w:num w:numId="4">
    <w:abstractNumId w:val="27"/>
  </w:num>
  <w:num w:numId="5">
    <w:abstractNumId w:val="11"/>
  </w:num>
  <w:num w:numId="6">
    <w:abstractNumId w:val="6"/>
  </w:num>
  <w:num w:numId="7">
    <w:abstractNumId w:val="3"/>
  </w:num>
  <w:num w:numId="8">
    <w:abstractNumId w:val="22"/>
  </w:num>
  <w:num w:numId="9">
    <w:abstractNumId w:val="10"/>
  </w:num>
  <w:num w:numId="10">
    <w:abstractNumId w:val="25"/>
  </w:num>
  <w:num w:numId="11">
    <w:abstractNumId w:val="17"/>
  </w:num>
  <w:num w:numId="12">
    <w:abstractNumId w:val="13"/>
  </w:num>
  <w:num w:numId="13">
    <w:abstractNumId w:val="24"/>
  </w:num>
  <w:num w:numId="14">
    <w:abstractNumId w:val="18"/>
  </w:num>
  <w:num w:numId="15">
    <w:abstractNumId w:val="2"/>
  </w:num>
  <w:num w:numId="16">
    <w:abstractNumId w:val="9"/>
  </w:num>
  <w:num w:numId="17">
    <w:abstractNumId w:val="0"/>
  </w:num>
  <w:num w:numId="18">
    <w:abstractNumId w:val="20"/>
  </w:num>
  <w:num w:numId="19">
    <w:abstractNumId w:val="7"/>
  </w:num>
  <w:num w:numId="20">
    <w:abstractNumId w:val="5"/>
  </w:num>
  <w:num w:numId="21">
    <w:abstractNumId w:val="8"/>
  </w:num>
  <w:num w:numId="22">
    <w:abstractNumId w:val="16"/>
  </w:num>
  <w:num w:numId="23">
    <w:abstractNumId w:val="21"/>
  </w:num>
  <w:num w:numId="24">
    <w:abstractNumId w:val="4"/>
  </w:num>
  <w:num w:numId="25">
    <w:abstractNumId w:val="15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05"/>
    <w:rsid w:val="00006DF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919B0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86B16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968B9"/>
    <w:rsid w:val="006A55D0"/>
    <w:rsid w:val="006D7E9A"/>
    <w:rsid w:val="006F5905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65C99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A5A50"/>
    <w:rsid w:val="00DD42BE"/>
    <w:rsid w:val="00DE767B"/>
    <w:rsid w:val="00E276DB"/>
    <w:rsid w:val="00E67CC8"/>
    <w:rsid w:val="00EC0CCA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5</cp:revision>
  <dcterms:created xsi:type="dcterms:W3CDTF">2017-05-25T09:20:00Z</dcterms:created>
  <dcterms:modified xsi:type="dcterms:W3CDTF">2020-08-18T13:55:00Z</dcterms:modified>
</cp:coreProperties>
</file>